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D32" w:rsidRDefault="00734A1E" w:rsidP="00734A1E">
      <w:pPr>
        <w:spacing w:before="240"/>
        <w:rPr>
          <w:sz w:val="36"/>
        </w:rPr>
      </w:pPr>
      <w:r w:rsidRPr="00734A1E">
        <w:rPr>
          <w:sz w:val="36"/>
        </w:rPr>
        <w:t>Language Guidelines for Inclusive Disaster Protection, Prevention, Mitigation, Response, and Recovery</w:t>
      </w:r>
    </w:p>
    <w:p w:rsidR="00734A1E" w:rsidRDefault="00734A1E" w:rsidP="00CB4C9C">
      <w:pPr>
        <w:spacing w:before="240" w:after="120"/>
      </w:pPr>
      <w:r>
        <w:t>FEMA is committed to working towards emergency management language and practices that are inclusive of people with disabilities and recognized the power of language in setting the stage for successful whole community efforts.</w:t>
      </w:r>
    </w:p>
    <w:p w:rsidR="00734A1E" w:rsidRDefault="00734A1E" w:rsidP="00CB4C9C">
      <w:pPr>
        <w:spacing w:after="120"/>
      </w:pPr>
      <w:r>
        <w:t>The table below offers language guidelines for referring to people with disabilities, people who may be disproportionately impacted during a disaster, and other with access and functional needs. These guidelines are based on several basic, key principles:</w:t>
      </w:r>
    </w:p>
    <w:p w:rsidR="00734A1E" w:rsidRDefault="00734A1E" w:rsidP="00CB4C9C">
      <w:pPr>
        <w:pStyle w:val="ListParagraph"/>
        <w:numPr>
          <w:ilvl w:val="0"/>
          <w:numId w:val="1"/>
        </w:numPr>
      </w:pPr>
      <w:r>
        <w:t xml:space="preserve">Use </w:t>
      </w:r>
      <w:r w:rsidRPr="00E66921">
        <w:rPr>
          <w:b/>
          <w:i/>
          <w:u w:val="single"/>
        </w:rPr>
        <w:t>people-first</w:t>
      </w:r>
      <w:r>
        <w:t xml:space="preserve"> language; place the emphasis on the individual instead of the disability.</w:t>
      </w:r>
    </w:p>
    <w:p w:rsidR="00734A1E" w:rsidRDefault="00734A1E" w:rsidP="00734A1E">
      <w:pPr>
        <w:pStyle w:val="ListParagraph"/>
        <w:numPr>
          <w:ilvl w:val="0"/>
          <w:numId w:val="1"/>
        </w:numPr>
        <w:spacing w:before="240"/>
      </w:pPr>
      <w:r>
        <w:t xml:space="preserve">Use terms consistent with the integration mandate in the </w:t>
      </w:r>
      <w:r w:rsidRPr="001F3A3C">
        <w:rPr>
          <w:i/>
        </w:rPr>
        <w:t>Americans with Disabilities Act of 1990</w:t>
      </w:r>
      <w:r w:rsidR="001F3A3C">
        <w:t xml:space="preserve"> </w:t>
      </w:r>
      <w:r w:rsidR="001F3A3C" w:rsidRPr="001F3A3C">
        <w:t>(ADA)</w:t>
      </w:r>
      <w:r w:rsidRPr="001F3A3C">
        <w:t>,</w:t>
      </w:r>
      <w:r>
        <w:t xml:space="preserve"> which requires public agencies to provide services “in the most integrated setting appropriate to the needs of individuals with disabilities.”</w:t>
      </w:r>
    </w:p>
    <w:p w:rsidR="001F3A3C" w:rsidRDefault="001F3A3C" w:rsidP="00734A1E">
      <w:pPr>
        <w:pStyle w:val="ListParagraph"/>
        <w:numPr>
          <w:ilvl w:val="0"/>
          <w:numId w:val="1"/>
        </w:numPr>
        <w:spacing w:before="240"/>
      </w:pPr>
      <w:r>
        <w:t>Use language that is respectful and straightforward.</w:t>
      </w:r>
    </w:p>
    <w:p w:rsidR="001F3A3C" w:rsidRDefault="001F3A3C" w:rsidP="00734A1E">
      <w:pPr>
        <w:pStyle w:val="ListParagraph"/>
        <w:numPr>
          <w:ilvl w:val="0"/>
          <w:numId w:val="1"/>
        </w:numPr>
        <w:spacing w:before="240"/>
      </w:pPr>
      <w:r>
        <w:t>Disability is a legally defined term for a protected class of individuals and remains an appropriate term.</w:t>
      </w:r>
    </w:p>
    <w:p w:rsidR="001F3A3C" w:rsidRDefault="001F3A3C" w:rsidP="00734A1E">
      <w:pPr>
        <w:pStyle w:val="ListParagraph"/>
        <w:numPr>
          <w:ilvl w:val="0"/>
          <w:numId w:val="1"/>
        </w:numPr>
        <w:spacing w:before="240"/>
      </w:pPr>
      <w:r>
        <w:t>When referring to “access and functional needs,” FEMA is referring to people with and without disabilities who have physical, programmatic, and effective communication accessibility requirements.  Meeting a disaster survivors’ access and functional needs ensures equal access to emergency programs for the whole community</w:t>
      </w:r>
    </w:p>
    <w:p w:rsidR="001F3A3C" w:rsidRDefault="001F3A3C" w:rsidP="00734A1E">
      <w:pPr>
        <w:pStyle w:val="ListParagraph"/>
        <w:numPr>
          <w:ilvl w:val="0"/>
          <w:numId w:val="1"/>
        </w:numPr>
        <w:spacing w:before="240"/>
      </w:pPr>
      <w:r>
        <w:t>Refer to a person’s disability only if it is relevant.</w:t>
      </w:r>
    </w:p>
    <w:p w:rsidR="001F3A3C" w:rsidRDefault="001F3A3C" w:rsidP="00734A1E">
      <w:pPr>
        <w:pStyle w:val="ListParagraph"/>
        <w:numPr>
          <w:ilvl w:val="0"/>
          <w:numId w:val="1"/>
        </w:numPr>
        <w:spacing w:before="240"/>
      </w:pPr>
      <w:r>
        <w:t>Avoid terms that lead to exclusion (e.g., “special” is associated with “separate” and “segregated” plans and services).</w:t>
      </w:r>
    </w:p>
    <w:p w:rsidR="001F3A3C" w:rsidRDefault="001F3A3C" w:rsidP="00734A1E">
      <w:pPr>
        <w:pStyle w:val="ListParagraph"/>
        <w:numPr>
          <w:ilvl w:val="0"/>
          <w:numId w:val="1"/>
        </w:numPr>
        <w:spacing w:before="240"/>
      </w:pPr>
      <w:r>
        <w:t>Avoid terms that are judgmental, negative, or sensational (e.g., special, brave, courageous, dumb, frail, super-human, vulnerable).</w:t>
      </w:r>
    </w:p>
    <w:p w:rsidR="001F3A3C" w:rsidRDefault="001F3A3C" w:rsidP="00734A1E">
      <w:pPr>
        <w:pStyle w:val="ListParagraph"/>
        <w:numPr>
          <w:ilvl w:val="0"/>
          <w:numId w:val="1"/>
        </w:numPr>
        <w:spacing w:before="240"/>
      </w:pPr>
      <w:r>
        <w:t>Avoid making assumptions or generalizations about the level of functioning of an individual based on their diagnosis or disability. Individuals are unique and have diverse abilities and characteristics.</w:t>
      </w:r>
    </w:p>
    <w:p w:rsidR="00480446" w:rsidRDefault="00480446" w:rsidP="00734A1E">
      <w:pPr>
        <w:pStyle w:val="ListParagraph"/>
        <w:numPr>
          <w:ilvl w:val="0"/>
          <w:numId w:val="1"/>
        </w:numPr>
        <w:spacing w:before="240"/>
      </w:pPr>
      <w:r>
        <w:t>Avoid all forms or certain outdated terms (e.g., “special needs” and “handicap”).</w:t>
      </w:r>
    </w:p>
    <w:p w:rsidR="001F3A3C" w:rsidRDefault="001F3A3C" w:rsidP="00CB4C9C">
      <w:pPr>
        <w:pStyle w:val="ListParagraph"/>
        <w:numPr>
          <w:ilvl w:val="0"/>
          <w:numId w:val="1"/>
        </w:numPr>
        <w:spacing w:before="240" w:after="120"/>
      </w:pPr>
      <w:r>
        <w:t>Avoid acronyms (e.g., PWD, AFN, etc.) when referring to people.</w:t>
      </w:r>
    </w:p>
    <w:p w:rsidR="00140470" w:rsidRDefault="001F3A3C" w:rsidP="00140470">
      <w:pPr>
        <w:spacing w:before="120"/>
      </w:pPr>
      <w:r>
        <w:t>Language influences behavior. Inclusive behavior is a powerful ingredient for achieving successful outcomes that are beneficial for the whole community. The meaning behind your message can get lost if you use inappropriate terminology. As Mark Twain said, “the difference between the right word and the almost right word is the difference between li</w:t>
      </w:r>
      <w:r w:rsidR="008C3D93">
        <w:t>ghtning and a lightning bug.”</w:t>
      </w:r>
    </w:p>
    <w:p w:rsidR="00140470" w:rsidRDefault="00140470">
      <w:pPr>
        <w:rPr>
          <w:sz w:val="28"/>
        </w:rPr>
      </w:pPr>
      <w:r>
        <w:rPr>
          <w:sz w:val="28"/>
        </w:rPr>
        <w:br w:type="page"/>
      </w:r>
    </w:p>
    <w:p w:rsidR="00140470" w:rsidRPr="00140470" w:rsidRDefault="00140470" w:rsidP="00140470">
      <w:pPr>
        <w:spacing w:before="240"/>
        <w:rPr>
          <w:sz w:val="28"/>
        </w:rPr>
      </w:pPr>
      <w:r>
        <w:rPr>
          <w:sz w:val="28"/>
        </w:rPr>
        <w:lastRenderedPageBreak/>
        <w:t>Terminology to Use versus Terminology to Avoid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anguage Guidelines for Inclusive Emergency Management"/>
        <w:tblDescription w:val="Two column table for inclusive emergency management language: Preferred terminology versus terminology to avoid"/>
      </w:tblPr>
      <w:tblGrid>
        <w:gridCol w:w="4945"/>
        <w:gridCol w:w="4590"/>
      </w:tblGrid>
      <w:tr w:rsidR="00CB4C9C" w:rsidRPr="00CB4C9C" w:rsidTr="00CB4C9C">
        <w:trPr>
          <w:trHeight w:val="441"/>
          <w:tblHeader/>
        </w:trPr>
        <w:tc>
          <w:tcPr>
            <w:tcW w:w="4945" w:type="dxa"/>
            <w:tcBorders>
              <w:top w:val="nil"/>
              <w:left w:val="nil"/>
              <w:bottom w:val="single" w:sz="4" w:space="0" w:color="auto"/>
              <w:right w:val="nil"/>
            </w:tcBorders>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b/>
                <w:bCs/>
                <w:color w:val="000000"/>
                <w:sz w:val="24"/>
                <w:szCs w:val="20"/>
              </w:rPr>
            </w:pPr>
            <w:r w:rsidRPr="00CB4C9C">
              <w:rPr>
                <w:rFonts w:eastAsia="Times New Roman" w:cs="Times New Roman"/>
                <w:b/>
                <w:bCs/>
                <w:color w:val="000000"/>
                <w:sz w:val="24"/>
                <w:szCs w:val="20"/>
              </w:rPr>
              <w:t>Preferred Terminology</w:t>
            </w:r>
            <w:r w:rsidR="00480446">
              <w:rPr>
                <w:rFonts w:eastAsia="Times New Roman" w:cs="Times New Roman"/>
                <w:b/>
                <w:bCs/>
                <w:color w:val="000000"/>
                <w:sz w:val="24"/>
                <w:szCs w:val="20"/>
              </w:rPr>
              <w:t xml:space="preserve"> and Examples</w:t>
            </w:r>
          </w:p>
        </w:tc>
        <w:tc>
          <w:tcPr>
            <w:tcW w:w="4590" w:type="dxa"/>
            <w:tcBorders>
              <w:top w:val="nil"/>
              <w:left w:val="nil"/>
              <w:bottom w:val="single" w:sz="4" w:space="0" w:color="auto"/>
              <w:right w:val="nil"/>
            </w:tcBorders>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b/>
                <w:bCs/>
                <w:color w:val="000000"/>
                <w:sz w:val="24"/>
                <w:szCs w:val="20"/>
              </w:rPr>
            </w:pPr>
            <w:r w:rsidRPr="00CB4C9C">
              <w:rPr>
                <w:rFonts w:eastAsia="Times New Roman" w:cs="Times New Roman"/>
                <w:b/>
                <w:bCs/>
                <w:color w:val="000000"/>
                <w:sz w:val="24"/>
                <w:szCs w:val="20"/>
              </w:rPr>
              <w:t xml:space="preserve">Terminology </w:t>
            </w:r>
            <w:r w:rsidR="00480446">
              <w:rPr>
                <w:rFonts w:eastAsia="Times New Roman" w:cs="Times New Roman"/>
                <w:b/>
                <w:bCs/>
                <w:color w:val="000000"/>
                <w:sz w:val="24"/>
                <w:szCs w:val="20"/>
              </w:rPr>
              <w:t xml:space="preserve">and Examples </w:t>
            </w:r>
            <w:r w:rsidRPr="00CB4C9C">
              <w:rPr>
                <w:rFonts w:eastAsia="Times New Roman" w:cs="Times New Roman"/>
                <w:b/>
                <w:bCs/>
                <w:color w:val="000000"/>
                <w:sz w:val="24"/>
                <w:szCs w:val="20"/>
              </w:rPr>
              <w:t>to Avoid</w:t>
            </w:r>
          </w:p>
        </w:tc>
      </w:tr>
      <w:tr w:rsidR="00CB4C9C" w:rsidRPr="00CB4C9C" w:rsidTr="00CB4C9C">
        <w:trPr>
          <w:trHeight w:val="170"/>
        </w:trPr>
        <w:tc>
          <w:tcPr>
            <w:tcW w:w="4945" w:type="dxa"/>
            <w:tcBorders>
              <w:top w:val="single" w:sz="4" w:space="0" w:color="auto"/>
            </w:tcBorders>
            <w:shd w:val="clear" w:color="auto" w:fill="auto"/>
            <w:tcMar>
              <w:top w:w="43" w:type="dxa"/>
              <w:left w:w="115" w:type="dxa"/>
              <w:bottom w:w="43" w:type="dxa"/>
              <w:right w:w="115" w:type="dxa"/>
            </w:tcMar>
            <w:vAlign w:val="center"/>
            <w:hideMark/>
          </w:tcPr>
          <w:p w:rsidR="00CB4C9C" w:rsidRPr="00CB4C9C" w:rsidRDefault="008E1D62" w:rsidP="00AE4E04">
            <w:pPr>
              <w:spacing w:after="0" w:line="240" w:lineRule="auto"/>
              <w:rPr>
                <w:rFonts w:eastAsia="Times New Roman" w:cs="Times New Roman"/>
                <w:color w:val="000000"/>
                <w:sz w:val="20"/>
                <w:szCs w:val="20"/>
              </w:rPr>
            </w:pPr>
            <w:r>
              <w:rPr>
                <w:rFonts w:eastAsia="Times New Roman" w:cs="Times New Roman"/>
                <w:color w:val="000000"/>
                <w:sz w:val="20"/>
                <w:szCs w:val="20"/>
              </w:rPr>
              <w:t>People with disabilities</w:t>
            </w:r>
          </w:p>
        </w:tc>
        <w:tc>
          <w:tcPr>
            <w:tcW w:w="4590" w:type="dxa"/>
            <w:tcBorders>
              <w:top w:val="single" w:sz="4" w:space="0" w:color="auto"/>
            </w:tcBorders>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The handicapped; the disabled; the impaired; the challenged</w:t>
            </w:r>
          </w:p>
        </w:tc>
      </w:tr>
      <w:tr w:rsidR="00CB4C9C" w:rsidRPr="00CB4C9C" w:rsidTr="00CB4C9C">
        <w:trPr>
          <w:trHeight w:val="269"/>
        </w:trPr>
        <w:tc>
          <w:tcPr>
            <w:tcW w:w="4945" w:type="dxa"/>
            <w:shd w:val="clear" w:color="auto" w:fill="auto"/>
            <w:tcMar>
              <w:top w:w="43" w:type="dxa"/>
              <w:left w:w="115" w:type="dxa"/>
              <w:bottom w:w="43" w:type="dxa"/>
              <w:right w:w="115" w:type="dxa"/>
            </w:tcMar>
            <w:vAlign w:val="center"/>
            <w:hideMark/>
          </w:tcPr>
          <w:p w:rsidR="00CB4C9C" w:rsidRPr="00CB4C9C" w:rsidRDefault="008E1D62" w:rsidP="00CB4C9C">
            <w:pPr>
              <w:spacing w:after="0" w:line="240" w:lineRule="auto"/>
              <w:rPr>
                <w:rFonts w:eastAsia="Times New Roman" w:cs="Times New Roman"/>
                <w:color w:val="000000"/>
                <w:sz w:val="20"/>
                <w:szCs w:val="20"/>
              </w:rPr>
            </w:pPr>
            <w:r>
              <w:rPr>
                <w:rFonts w:eastAsia="Times New Roman" w:cs="Times New Roman"/>
                <w:color w:val="000000"/>
                <w:sz w:val="20"/>
                <w:szCs w:val="20"/>
              </w:rPr>
              <w:t>I</w:t>
            </w:r>
            <w:r w:rsidR="00CB4C9C" w:rsidRPr="00CB4C9C">
              <w:rPr>
                <w:rFonts w:eastAsia="Times New Roman" w:cs="Times New Roman"/>
                <w:color w:val="000000"/>
                <w:sz w:val="20"/>
                <w:szCs w:val="20"/>
              </w:rPr>
              <w:t>ndividual or person with a disability</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Disabled person; PWD; PAFN</w:t>
            </w:r>
          </w:p>
        </w:tc>
      </w:tr>
      <w:tr w:rsidR="00CB4C9C" w:rsidRPr="00CB4C9C" w:rsidTr="00CB4C9C">
        <w:trPr>
          <w:trHeight w:val="791"/>
        </w:trPr>
        <w:tc>
          <w:tcPr>
            <w:tcW w:w="4945" w:type="dxa"/>
            <w:shd w:val="clear" w:color="auto" w:fill="auto"/>
            <w:tcMar>
              <w:top w:w="43" w:type="dxa"/>
              <w:left w:w="115" w:type="dxa"/>
              <w:bottom w:w="43" w:type="dxa"/>
              <w:right w:w="115" w:type="dxa"/>
            </w:tcMar>
            <w:vAlign w:val="center"/>
            <w:hideMark/>
          </w:tcPr>
          <w:p w:rsidR="00CB4C9C" w:rsidRPr="00CB4C9C" w:rsidRDefault="008E1D62" w:rsidP="008E1D62">
            <w:pPr>
              <w:spacing w:after="0" w:line="240" w:lineRule="auto"/>
              <w:rPr>
                <w:rFonts w:eastAsia="Times New Roman" w:cs="Times New Roman"/>
                <w:color w:val="000000"/>
                <w:sz w:val="20"/>
                <w:szCs w:val="20"/>
              </w:rPr>
            </w:pPr>
            <w:r>
              <w:rPr>
                <w:rFonts w:eastAsia="Times New Roman" w:cs="Times New Roman"/>
                <w:color w:val="000000"/>
                <w:sz w:val="20"/>
                <w:szCs w:val="20"/>
              </w:rPr>
              <w:t>A</w:t>
            </w:r>
            <w:r w:rsidR="00CB4C9C" w:rsidRPr="00CB4C9C">
              <w:rPr>
                <w:rFonts w:eastAsia="Times New Roman" w:cs="Times New Roman"/>
                <w:color w:val="000000"/>
                <w:sz w:val="20"/>
                <w:szCs w:val="20"/>
              </w:rPr>
              <w:t>ccess and functional needs; the access and functional needs of people with or without disabilities; people with disabilities and others with access and functional needs</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Special needs; vulnerable; vulnerable populations; AFNs; she’s an AFN</w:t>
            </w:r>
          </w:p>
        </w:tc>
      </w:tr>
      <w:tr w:rsidR="00CB4C9C" w:rsidRPr="00CB4C9C" w:rsidTr="00CB4C9C">
        <w:trPr>
          <w:trHeight w:val="800"/>
        </w:trPr>
        <w:tc>
          <w:tcPr>
            <w:tcW w:w="4945" w:type="dxa"/>
            <w:shd w:val="clear" w:color="auto" w:fill="auto"/>
            <w:tcMar>
              <w:top w:w="43" w:type="dxa"/>
              <w:left w:w="115" w:type="dxa"/>
              <w:bottom w:w="43" w:type="dxa"/>
              <w:right w:w="115" w:type="dxa"/>
            </w:tcMar>
            <w:vAlign w:val="center"/>
            <w:hideMark/>
          </w:tcPr>
          <w:p w:rsidR="00CB4C9C" w:rsidRPr="00CB4C9C" w:rsidRDefault="008E1D62" w:rsidP="008E1D62">
            <w:pPr>
              <w:spacing w:after="0" w:line="240" w:lineRule="auto"/>
              <w:rPr>
                <w:rFonts w:eastAsia="Times New Roman" w:cs="Times New Roman"/>
                <w:color w:val="000000"/>
                <w:sz w:val="20"/>
                <w:szCs w:val="20"/>
              </w:rPr>
            </w:pPr>
            <w:r>
              <w:rPr>
                <w:rFonts w:eastAsia="Times New Roman" w:cs="Times New Roman"/>
                <w:color w:val="000000"/>
                <w:sz w:val="20"/>
                <w:szCs w:val="20"/>
              </w:rPr>
              <w:t>E</w:t>
            </w:r>
            <w:r w:rsidR="00CB4C9C" w:rsidRPr="00CB4C9C">
              <w:rPr>
                <w:rFonts w:eastAsia="Times New Roman" w:cs="Times New Roman"/>
                <w:color w:val="000000"/>
                <w:sz w:val="20"/>
                <w:szCs w:val="20"/>
              </w:rPr>
              <w:t>qual access; universal access; universal design; physical access, program access, and effective communication access; reasonable accommodation</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Special access; handicapped access; special accommodations; AFN accommodations</w:t>
            </w:r>
          </w:p>
        </w:tc>
      </w:tr>
      <w:tr w:rsidR="00CB4C9C" w:rsidRPr="00CB4C9C" w:rsidTr="00CB4C9C">
        <w:trPr>
          <w:trHeight w:val="395"/>
        </w:trPr>
        <w:tc>
          <w:tcPr>
            <w:tcW w:w="4945" w:type="dxa"/>
            <w:shd w:val="clear" w:color="auto" w:fill="auto"/>
            <w:tcMar>
              <w:top w:w="43" w:type="dxa"/>
              <w:left w:w="115" w:type="dxa"/>
              <w:bottom w:w="43" w:type="dxa"/>
              <w:right w:w="115" w:type="dxa"/>
            </w:tcMar>
            <w:vAlign w:val="center"/>
            <w:hideMark/>
          </w:tcPr>
          <w:p w:rsidR="00CB4C9C" w:rsidRPr="00CB4C9C" w:rsidRDefault="008E1D62" w:rsidP="008E1D62">
            <w:pPr>
              <w:spacing w:after="0" w:line="240" w:lineRule="auto"/>
              <w:rPr>
                <w:rFonts w:eastAsia="Times New Roman" w:cs="Times New Roman"/>
                <w:color w:val="000000"/>
                <w:sz w:val="20"/>
                <w:szCs w:val="20"/>
              </w:rPr>
            </w:pPr>
            <w:r>
              <w:rPr>
                <w:rFonts w:eastAsia="Times New Roman" w:cs="Times New Roman"/>
                <w:color w:val="000000"/>
                <w:sz w:val="20"/>
                <w:szCs w:val="20"/>
              </w:rPr>
              <w:t>D</w:t>
            </w:r>
            <w:r w:rsidR="00CB4C9C" w:rsidRPr="00CB4C9C">
              <w:rPr>
                <w:rFonts w:eastAsia="Times New Roman" w:cs="Times New Roman"/>
                <w:color w:val="000000"/>
                <w:sz w:val="20"/>
                <w:szCs w:val="20"/>
              </w:rPr>
              <w:t>isproportionate impact</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Vulnerable populations; special populations; at-risk populations</w:t>
            </w:r>
          </w:p>
        </w:tc>
      </w:tr>
      <w:tr w:rsidR="00CB4C9C" w:rsidRPr="00CB4C9C" w:rsidTr="00CB4C9C">
        <w:trPr>
          <w:trHeight w:val="319"/>
        </w:trPr>
        <w:tc>
          <w:tcPr>
            <w:tcW w:w="4945" w:type="dxa"/>
            <w:shd w:val="clear" w:color="auto" w:fill="auto"/>
            <w:tcMar>
              <w:top w:w="43" w:type="dxa"/>
              <w:left w:w="115" w:type="dxa"/>
              <w:bottom w:w="43" w:type="dxa"/>
              <w:right w:w="115" w:type="dxa"/>
            </w:tcMar>
            <w:vAlign w:val="center"/>
            <w:hideMark/>
          </w:tcPr>
          <w:p w:rsidR="00CB4C9C" w:rsidRPr="00CB4C9C" w:rsidRDefault="008E1D62" w:rsidP="008E1D62">
            <w:pPr>
              <w:spacing w:after="0" w:line="240" w:lineRule="auto"/>
              <w:rPr>
                <w:rFonts w:eastAsia="Times New Roman" w:cs="Times New Roman"/>
                <w:color w:val="000000"/>
                <w:sz w:val="20"/>
                <w:szCs w:val="20"/>
              </w:rPr>
            </w:pPr>
            <w:r>
              <w:rPr>
                <w:rFonts w:eastAsia="Times New Roman" w:cs="Times New Roman"/>
                <w:color w:val="000000"/>
                <w:sz w:val="20"/>
                <w:szCs w:val="20"/>
              </w:rPr>
              <w:t>D</w:t>
            </w:r>
            <w:r w:rsidR="00CB4C9C" w:rsidRPr="00CB4C9C">
              <w:rPr>
                <w:rFonts w:eastAsia="Times New Roman" w:cs="Times New Roman"/>
                <w:color w:val="000000"/>
                <w:sz w:val="20"/>
                <w:szCs w:val="20"/>
              </w:rPr>
              <w:t>eaf; hard of hearing; hearing loss; sensory disability</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Deaf and dumb; the deaf; deaf mute; hearing impaired</w:t>
            </w:r>
          </w:p>
        </w:tc>
      </w:tr>
      <w:tr w:rsidR="00CB4C9C" w:rsidRPr="00CB4C9C" w:rsidTr="00CB4C9C">
        <w:trPr>
          <w:trHeight w:val="517"/>
        </w:trPr>
        <w:tc>
          <w:tcPr>
            <w:tcW w:w="4945" w:type="dxa"/>
            <w:shd w:val="clear" w:color="auto" w:fill="auto"/>
            <w:tcMar>
              <w:top w:w="43" w:type="dxa"/>
              <w:left w:w="115" w:type="dxa"/>
              <w:bottom w:w="43" w:type="dxa"/>
              <w:right w:w="115" w:type="dxa"/>
            </w:tcMar>
            <w:vAlign w:val="center"/>
            <w:hideMark/>
          </w:tcPr>
          <w:p w:rsidR="00CB4C9C" w:rsidRPr="00CB4C9C" w:rsidRDefault="008E1D62" w:rsidP="008E1D62">
            <w:pPr>
              <w:spacing w:after="0" w:line="240" w:lineRule="auto"/>
              <w:rPr>
                <w:rFonts w:eastAsia="Times New Roman" w:cs="Times New Roman"/>
                <w:color w:val="000000"/>
                <w:sz w:val="20"/>
                <w:szCs w:val="20"/>
              </w:rPr>
            </w:pPr>
            <w:r>
              <w:rPr>
                <w:rFonts w:eastAsia="Times New Roman" w:cs="Times New Roman"/>
                <w:color w:val="000000"/>
                <w:sz w:val="20"/>
                <w:szCs w:val="20"/>
              </w:rPr>
              <w:t>A</w:t>
            </w:r>
            <w:r w:rsidR="00CB4C9C" w:rsidRPr="00CB4C9C">
              <w:rPr>
                <w:rFonts w:eastAsia="Times New Roman" w:cs="Times New Roman"/>
                <w:color w:val="000000"/>
                <w:sz w:val="20"/>
                <w:szCs w:val="20"/>
              </w:rPr>
              <w:t>ccessible communication; effective communication</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Special communication; special needs communication</w:t>
            </w:r>
          </w:p>
        </w:tc>
      </w:tr>
      <w:tr w:rsidR="00CB4C9C" w:rsidRPr="00CB4C9C" w:rsidTr="00CB4C9C">
        <w:trPr>
          <w:trHeight w:val="409"/>
        </w:trPr>
        <w:tc>
          <w:tcPr>
            <w:tcW w:w="4945" w:type="dxa"/>
            <w:shd w:val="clear" w:color="auto" w:fill="auto"/>
            <w:tcMar>
              <w:top w:w="43" w:type="dxa"/>
              <w:left w:w="115" w:type="dxa"/>
              <w:bottom w:w="43" w:type="dxa"/>
              <w:right w:w="115" w:type="dxa"/>
            </w:tcMar>
            <w:vAlign w:val="center"/>
            <w:hideMark/>
          </w:tcPr>
          <w:p w:rsidR="00CB4C9C" w:rsidRPr="00CB4C9C" w:rsidRDefault="008E1D62" w:rsidP="008E1D62">
            <w:pPr>
              <w:spacing w:after="0" w:line="240" w:lineRule="auto"/>
              <w:rPr>
                <w:rFonts w:eastAsia="Times New Roman" w:cs="Times New Roman"/>
                <w:color w:val="000000"/>
                <w:sz w:val="20"/>
                <w:szCs w:val="20"/>
              </w:rPr>
            </w:pPr>
            <w:r>
              <w:rPr>
                <w:rFonts w:eastAsia="Times New Roman" w:cs="Times New Roman"/>
                <w:color w:val="000000"/>
                <w:sz w:val="20"/>
                <w:szCs w:val="20"/>
              </w:rPr>
              <w:t>H</w:t>
            </w:r>
            <w:r w:rsidR="00AE4E04">
              <w:rPr>
                <w:rFonts w:eastAsia="Times New Roman" w:cs="Times New Roman"/>
                <w:color w:val="000000"/>
                <w:sz w:val="20"/>
                <w:szCs w:val="20"/>
              </w:rPr>
              <w:t xml:space="preserve">e </w:t>
            </w:r>
            <w:r w:rsidR="00CB4C9C" w:rsidRPr="00CB4C9C">
              <w:rPr>
                <w:rFonts w:eastAsia="Times New Roman" w:cs="Times New Roman"/>
                <w:color w:val="000000"/>
                <w:sz w:val="20"/>
                <w:szCs w:val="20"/>
              </w:rPr>
              <w:t>has a speech disability</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He has a speech impairment; speech impediment</w:t>
            </w:r>
          </w:p>
        </w:tc>
      </w:tr>
      <w:tr w:rsidR="00CB4C9C" w:rsidRPr="00CB4C9C" w:rsidTr="00CB4C9C">
        <w:trPr>
          <w:trHeight w:val="499"/>
        </w:trPr>
        <w:tc>
          <w:tcPr>
            <w:tcW w:w="4945" w:type="dxa"/>
            <w:shd w:val="clear" w:color="auto" w:fill="auto"/>
            <w:tcMar>
              <w:top w:w="43" w:type="dxa"/>
              <w:left w:w="115" w:type="dxa"/>
              <w:bottom w:w="43" w:type="dxa"/>
              <w:right w:w="115" w:type="dxa"/>
            </w:tcMar>
            <w:vAlign w:val="center"/>
            <w:hideMark/>
          </w:tcPr>
          <w:p w:rsidR="00CB4C9C" w:rsidRPr="00CB4C9C" w:rsidRDefault="008E1D62" w:rsidP="00AE4E04">
            <w:pPr>
              <w:spacing w:after="0" w:line="240" w:lineRule="auto"/>
              <w:rPr>
                <w:rFonts w:eastAsia="Times New Roman" w:cs="Times New Roman"/>
                <w:color w:val="000000"/>
                <w:sz w:val="20"/>
                <w:szCs w:val="20"/>
              </w:rPr>
            </w:pPr>
            <w:r>
              <w:rPr>
                <w:rFonts w:eastAsia="Times New Roman" w:cs="Times New Roman"/>
                <w:color w:val="000000"/>
                <w:sz w:val="20"/>
                <w:szCs w:val="20"/>
              </w:rPr>
              <w:t>H</w:t>
            </w:r>
            <w:r w:rsidR="00CB4C9C" w:rsidRPr="00CB4C9C">
              <w:rPr>
                <w:rFonts w:eastAsia="Times New Roman" w:cs="Times New Roman"/>
                <w:color w:val="000000"/>
                <w:sz w:val="20"/>
                <w:szCs w:val="20"/>
              </w:rPr>
              <w:t>e is blind; he has low vision</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The blind; sight impaired; vision impaired</w:t>
            </w:r>
          </w:p>
        </w:tc>
      </w:tr>
      <w:tr w:rsidR="00CB4C9C" w:rsidRPr="00CB4C9C" w:rsidTr="00CB4C9C">
        <w:trPr>
          <w:trHeight w:val="589"/>
        </w:trPr>
        <w:tc>
          <w:tcPr>
            <w:tcW w:w="4945" w:type="dxa"/>
            <w:shd w:val="clear" w:color="auto" w:fill="auto"/>
            <w:tcMar>
              <w:top w:w="43" w:type="dxa"/>
              <w:left w:w="115" w:type="dxa"/>
              <w:bottom w:w="43" w:type="dxa"/>
              <w:right w:w="115" w:type="dxa"/>
            </w:tcMar>
            <w:vAlign w:val="center"/>
            <w:hideMark/>
          </w:tcPr>
          <w:p w:rsidR="00CB4C9C" w:rsidRPr="00CB4C9C" w:rsidRDefault="008E1D62" w:rsidP="00480446">
            <w:pPr>
              <w:spacing w:after="0" w:line="240" w:lineRule="auto"/>
              <w:rPr>
                <w:rFonts w:eastAsia="Times New Roman" w:cs="Times New Roman"/>
                <w:color w:val="000000"/>
                <w:sz w:val="20"/>
                <w:szCs w:val="20"/>
              </w:rPr>
            </w:pPr>
            <w:r>
              <w:rPr>
                <w:rFonts w:eastAsia="Times New Roman" w:cs="Times New Roman"/>
                <w:color w:val="000000"/>
                <w:sz w:val="20"/>
                <w:szCs w:val="20"/>
              </w:rPr>
              <w:t>S</w:t>
            </w:r>
            <w:r w:rsidR="00CB4C9C" w:rsidRPr="00CB4C9C">
              <w:rPr>
                <w:rFonts w:eastAsia="Times New Roman" w:cs="Times New Roman"/>
                <w:color w:val="000000"/>
                <w:sz w:val="20"/>
                <w:szCs w:val="20"/>
              </w:rPr>
              <w:t>he has a mobility disability</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She’s mobility impaired; physically challenged; crippled; an invalid; lame; differently-abled; bedridden; house-bound; shut-in</w:t>
            </w:r>
          </w:p>
        </w:tc>
      </w:tr>
      <w:tr w:rsidR="00CB4C9C" w:rsidRPr="00CB4C9C" w:rsidTr="00CB4C9C">
        <w:trPr>
          <w:trHeight w:val="373"/>
        </w:trPr>
        <w:tc>
          <w:tcPr>
            <w:tcW w:w="4945" w:type="dxa"/>
            <w:shd w:val="clear" w:color="auto" w:fill="auto"/>
            <w:tcMar>
              <w:top w:w="43" w:type="dxa"/>
              <w:left w:w="115" w:type="dxa"/>
              <w:bottom w:w="43" w:type="dxa"/>
              <w:right w:w="115" w:type="dxa"/>
            </w:tcMar>
            <w:vAlign w:val="center"/>
            <w:hideMark/>
          </w:tcPr>
          <w:p w:rsidR="00CB4C9C" w:rsidRPr="00CB4C9C" w:rsidRDefault="008E1D62" w:rsidP="00CB4C9C">
            <w:pPr>
              <w:spacing w:after="0" w:line="240" w:lineRule="auto"/>
              <w:rPr>
                <w:rFonts w:eastAsia="Times New Roman" w:cs="Times New Roman"/>
                <w:color w:val="000000"/>
                <w:sz w:val="20"/>
                <w:szCs w:val="20"/>
              </w:rPr>
            </w:pPr>
            <w:r>
              <w:rPr>
                <w:rFonts w:eastAsia="Times New Roman" w:cs="Times New Roman"/>
                <w:color w:val="000000"/>
                <w:sz w:val="20"/>
                <w:szCs w:val="20"/>
              </w:rPr>
              <w:t>S</w:t>
            </w:r>
            <w:r w:rsidR="00CB4C9C" w:rsidRPr="00CB4C9C">
              <w:rPr>
                <w:rFonts w:eastAsia="Times New Roman" w:cs="Times New Roman"/>
                <w:color w:val="000000"/>
                <w:sz w:val="20"/>
                <w:szCs w:val="20"/>
              </w:rPr>
              <w:t>he has… (e.g., multiple sclerosis, cancer, etc.)</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 xml:space="preserve">Suffers from, afflicted with; stricken with; impaired by </w:t>
            </w:r>
          </w:p>
        </w:tc>
      </w:tr>
      <w:tr w:rsidR="00CB4C9C" w:rsidRPr="00CB4C9C" w:rsidTr="00CB4C9C">
        <w:trPr>
          <w:trHeight w:val="391"/>
        </w:trPr>
        <w:tc>
          <w:tcPr>
            <w:tcW w:w="4945" w:type="dxa"/>
            <w:shd w:val="clear" w:color="auto" w:fill="auto"/>
            <w:tcMar>
              <w:top w:w="43" w:type="dxa"/>
              <w:left w:w="115" w:type="dxa"/>
              <w:bottom w:w="43" w:type="dxa"/>
              <w:right w:w="115" w:type="dxa"/>
            </w:tcMar>
            <w:vAlign w:val="center"/>
            <w:hideMark/>
          </w:tcPr>
          <w:p w:rsidR="00CB4C9C" w:rsidRPr="00CB4C9C" w:rsidRDefault="008E1D62" w:rsidP="00480446">
            <w:pPr>
              <w:spacing w:after="0" w:line="240" w:lineRule="auto"/>
              <w:rPr>
                <w:rFonts w:eastAsia="Times New Roman" w:cs="Times New Roman"/>
                <w:color w:val="000000"/>
                <w:sz w:val="20"/>
                <w:szCs w:val="20"/>
              </w:rPr>
            </w:pPr>
            <w:r>
              <w:rPr>
                <w:rFonts w:eastAsia="Times New Roman" w:cs="Times New Roman"/>
                <w:color w:val="000000"/>
                <w:sz w:val="20"/>
                <w:szCs w:val="20"/>
              </w:rPr>
              <w:t>H</w:t>
            </w:r>
            <w:r w:rsidR="00CB4C9C" w:rsidRPr="00CB4C9C">
              <w:rPr>
                <w:rFonts w:eastAsia="Times New Roman" w:cs="Times New Roman"/>
                <w:color w:val="000000"/>
                <w:sz w:val="20"/>
                <w:szCs w:val="20"/>
              </w:rPr>
              <w:t>e uses a wheelchair; he uses a scooter; he uses a mobility device</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Wheelchair bound; confined to a wheelchair; wheelchair person</w:t>
            </w:r>
          </w:p>
        </w:tc>
      </w:tr>
      <w:tr w:rsidR="00CB4C9C" w:rsidRPr="00CB4C9C" w:rsidTr="00CB4C9C">
        <w:trPr>
          <w:trHeight w:val="24"/>
        </w:trPr>
        <w:tc>
          <w:tcPr>
            <w:tcW w:w="4945" w:type="dxa"/>
            <w:shd w:val="clear" w:color="auto" w:fill="auto"/>
            <w:tcMar>
              <w:top w:w="43" w:type="dxa"/>
              <w:left w:w="115" w:type="dxa"/>
              <w:bottom w:w="43" w:type="dxa"/>
              <w:right w:w="115" w:type="dxa"/>
            </w:tcMar>
            <w:vAlign w:val="center"/>
            <w:hideMark/>
          </w:tcPr>
          <w:p w:rsidR="00CB4C9C" w:rsidRPr="00CB4C9C" w:rsidRDefault="008E1D62" w:rsidP="008E1D62">
            <w:pPr>
              <w:spacing w:after="0" w:line="240" w:lineRule="auto"/>
              <w:rPr>
                <w:rFonts w:eastAsia="Times New Roman" w:cs="Times New Roman"/>
                <w:color w:val="000000"/>
                <w:sz w:val="20"/>
                <w:szCs w:val="20"/>
              </w:rPr>
            </w:pPr>
            <w:r>
              <w:rPr>
                <w:rFonts w:eastAsia="Times New Roman" w:cs="Times New Roman"/>
                <w:color w:val="000000"/>
                <w:sz w:val="20"/>
                <w:szCs w:val="20"/>
              </w:rPr>
              <w:t>A</w:t>
            </w:r>
            <w:r w:rsidR="00CB4C9C" w:rsidRPr="00CB4C9C">
              <w:rPr>
                <w:rFonts w:eastAsia="Times New Roman" w:cs="Times New Roman"/>
                <w:color w:val="000000"/>
                <w:sz w:val="20"/>
                <w:szCs w:val="20"/>
              </w:rPr>
              <w:t>ssistive devices;</w:t>
            </w:r>
            <w:r>
              <w:rPr>
                <w:rFonts w:eastAsia="Times New Roman" w:cs="Times New Roman"/>
                <w:color w:val="000000"/>
                <w:sz w:val="20"/>
                <w:szCs w:val="20"/>
              </w:rPr>
              <w:t xml:space="preserve"> </w:t>
            </w:r>
            <w:r w:rsidR="00CB4C9C" w:rsidRPr="00CB4C9C">
              <w:rPr>
                <w:rFonts w:eastAsia="Times New Roman" w:cs="Times New Roman"/>
                <w:color w:val="000000"/>
                <w:sz w:val="20"/>
                <w:szCs w:val="20"/>
              </w:rPr>
              <w:t xml:space="preserve">assistive technology; </w:t>
            </w:r>
            <w:r>
              <w:rPr>
                <w:rFonts w:eastAsia="Times New Roman" w:cs="Times New Roman"/>
                <w:color w:val="000000"/>
                <w:sz w:val="20"/>
                <w:szCs w:val="20"/>
              </w:rPr>
              <w:t xml:space="preserve">and </w:t>
            </w:r>
            <w:r w:rsidR="00CB4C9C" w:rsidRPr="00CB4C9C">
              <w:rPr>
                <w:rFonts w:eastAsia="Times New Roman" w:cs="Times New Roman"/>
                <w:color w:val="000000"/>
                <w:sz w:val="20"/>
                <w:szCs w:val="20"/>
              </w:rPr>
              <w:t>durable medical equipment</w:t>
            </w:r>
            <w:bookmarkStart w:id="0" w:name="_GoBack"/>
            <w:bookmarkEnd w:id="0"/>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Handicapped equipment; special devices</w:t>
            </w:r>
          </w:p>
        </w:tc>
      </w:tr>
      <w:tr w:rsidR="00CB4C9C" w:rsidRPr="00CB4C9C" w:rsidTr="00CB4C9C">
        <w:trPr>
          <w:trHeight w:val="238"/>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Power chair; motorized wheelchair; scooter</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 xml:space="preserve">Electric wheelchair; electric chair; cart </w:t>
            </w:r>
          </w:p>
        </w:tc>
      </w:tr>
      <w:tr w:rsidR="00CB4C9C" w:rsidRPr="00CB4C9C" w:rsidTr="00CB4C9C">
        <w:trPr>
          <w:trHeight w:val="580"/>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She sustained a spinal cord injury; she has paralysis; she is spinal cord injury survivor; she has paraplegia/quadriplegia/limb loss</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She’s paralyzed; she’s a cripple; she’s trapped in her body; her body is lifeless; crippled; useless</w:t>
            </w:r>
          </w:p>
        </w:tc>
      </w:tr>
      <w:tr w:rsidR="00CB4C9C" w:rsidRPr="00CB4C9C" w:rsidTr="00CB4C9C">
        <w:trPr>
          <w:trHeight w:val="175"/>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Prosthesis; prosthetic limb</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Fake leg; wooden leg; peg leg</w:t>
            </w:r>
          </w:p>
        </w:tc>
      </w:tr>
      <w:tr w:rsidR="00CB4C9C" w:rsidRPr="00CB4C9C" w:rsidTr="00CB4C9C">
        <w:trPr>
          <w:trHeight w:val="24"/>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He has cerebral palsy</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He’s spastic; palsied</w:t>
            </w:r>
          </w:p>
        </w:tc>
      </w:tr>
      <w:tr w:rsidR="00CB4C9C" w:rsidRPr="00CB4C9C" w:rsidTr="00CB4C9C">
        <w:trPr>
          <w:trHeight w:val="67"/>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He has epilepsy; he has seizures</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He has spells or fits</w:t>
            </w:r>
          </w:p>
        </w:tc>
      </w:tr>
      <w:tr w:rsidR="00CB4C9C" w:rsidRPr="00CB4C9C" w:rsidTr="00CB4C9C">
        <w:trPr>
          <w:trHeight w:val="229"/>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She is a little person; she has dwarfism; he is of short stature</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She’s a dwarf; she’s a midget</w:t>
            </w:r>
          </w:p>
        </w:tc>
      </w:tr>
      <w:tr w:rsidR="00CB4C9C" w:rsidRPr="00CB4C9C" w:rsidTr="00CB4C9C">
        <w:trPr>
          <w:trHeight w:val="157"/>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She has Down syndrome</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She’s Downs; a Down’s kid;  mongoloid; retarded</w:t>
            </w:r>
          </w:p>
        </w:tc>
      </w:tr>
      <w:tr w:rsidR="00CB4C9C" w:rsidRPr="00CB4C9C" w:rsidTr="00CB4C9C">
        <w:trPr>
          <w:trHeight w:val="94"/>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He has a learning disability</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He is learning disabled; slow; slow learner; dumb</w:t>
            </w:r>
          </w:p>
        </w:tc>
      </w:tr>
      <w:tr w:rsidR="00CB4C9C" w:rsidRPr="00CB4C9C" w:rsidTr="00CB4C9C">
        <w:trPr>
          <w:trHeight w:val="94"/>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A person with an intellectual disability; developmental disability</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The mentally retarded; retard; retarded; mental retardation; mentally impaired</w:t>
            </w:r>
          </w:p>
        </w:tc>
      </w:tr>
      <w:tr w:rsidR="00CB4C9C" w:rsidRPr="00CB4C9C" w:rsidTr="00CB4C9C">
        <w:trPr>
          <w:trHeight w:val="202"/>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lastRenderedPageBreak/>
              <w:t>A women with a cognitive disability; a person with dementia or Alzheimer's Disease</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Senile; demented</w:t>
            </w:r>
          </w:p>
        </w:tc>
      </w:tr>
      <w:tr w:rsidR="00CB4C9C" w:rsidRPr="00CB4C9C" w:rsidTr="00CB4C9C">
        <w:trPr>
          <w:trHeight w:val="310"/>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A child with a traumatic brain injury or a person who sustained a head injury</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Brain damaged; slow</w:t>
            </w:r>
          </w:p>
        </w:tc>
      </w:tr>
      <w:tr w:rsidR="00CB4C9C" w:rsidRPr="00CB4C9C" w:rsidTr="00CB4C9C">
        <w:trPr>
          <w:trHeight w:val="229"/>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He has autism; He is autistic (this is not people-first language, but it is preferred by many people with autism on the autism spectrum).</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Mental; mentally impaired; retarded; dumb</w:t>
            </w:r>
          </w:p>
        </w:tc>
      </w:tr>
      <w:tr w:rsidR="00CB4C9C" w:rsidRPr="00CB4C9C" w:rsidTr="00CB4C9C">
        <w:trPr>
          <w:trHeight w:val="814"/>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She has a mental illness; mental health support; psychiatric disability; she has a diagnosis of schizophrenia or bipolar disorder; uses behavioral health services</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 xml:space="preserve">Emotionally disturbed; disturbed; crazy; psycho; </w:t>
            </w:r>
            <w:proofErr w:type="spellStart"/>
            <w:r w:rsidRPr="00CB4C9C">
              <w:rPr>
                <w:rFonts w:eastAsia="Times New Roman" w:cs="Times New Roman"/>
                <w:color w:val="000000"/>
                <w:sz w:val="20"/>
                <w:szCs w:val="20"/>
              </w:rPr>
              <w:t>schizo</w:t>
            </w:r>
            <w:proofErr w:type="spellEnd"/>
            <w:r w:rsidRPr="00CB4C9C">
              <w:rPr>
                <w:rFonts w:eastAsia="Times New Roman" w:cs="Times New Roman"/>
                <w:color w:val="000000"/>
                <w:sz w:val="20"/>
                <w:szCs w:val="20"/>
              </w:rPr>
              <w:t>; insane; manic; manic depression; mental; mental patient; he’s a behavior problem; he needs behavior management; she’s a problem child; he is crazy; they are out of control</w:t>
            </w:r>
          </w:p>
        </w:tc>
      </w:tr>
      <w:tr w:rsidR="00CB4C9C" w:rsidRPr="00CB4C9C" w:rsidTr="00CB4C9C">
        <w:trPr>
          <w:trHeight w:val="24"/>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Congenital disability; sustained a birth injury; acquired at birth</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 xml:space="preserve">Birth defect; defective </w:t>
            </w:r>
          </w:p>
        </w:tc>
      </w:tr>
      <w:tr w:rsidR="00CB4C9C" w:rsidRPr="00CB4C9C" w:rsidTr="00CB4C9C">
        <w:trPr>
          <w:trHeight w:val="193"/>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Children who receive special education services; children with Individual Education Plans</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 xml:space="preserve">Special education kid; special needs child; rides the short bus; SPED; he’s special </w:t>
            </w:r>
            <w:proofErr w:type="spellStart"/>
            <w:r w:rsidRPr="00CB4C9C">
              <w:rPr>
                <w:rFonts w:eastAsia="Times New Roman" w:cs="Times New Roman"/>
                <w:color w:val="000000"/>
                <w:sz w:val="20"/>
                <w:szCs w:val="20"/>
              </w:rPr>
              <w:t>ed</w:t>
            </w:r>
            <w:proofErr w:type="spellEnd"/>
            <w:r w:rsidRPr="00CB4C9C">
              <w:rPr>
                <w:rFonts w:eastAsia="Times New Roman" w:cs="Times New Roman"/>
                <w:color w:val="000000"/>
                <w:sz w:val="20"/>
                <w:szCs w:val="20"/>
              </w:rPr>
              <w:t xml:space="preserve">; he is special needs  </w:t>
            </w:r>
          </w:p>
        </w:tc>
      </w:tr>
      <w:tr w:rsidR="00CB4C9C" w:rsidRPr="00CB4C9C" w:rsidTr="00CB4C9C">
        <w:trPr>
          <w:trHeight w:val="576"/>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Senior; older person; older adult; or older adult with a disability</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The frail; elderly; the elderly</w:t>
            </w:r>
          </w:p>
        </w:tc>
      </w:tr>
      <w:tr w:rsidR="00CB4C9C" w:rsidRPr="00CB4C9C" w:rsidTr="00CB4C9C">
        <w:trPr>
          <w:trHeight w:val="238"/>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 xml:space="preserve">Accessible bathroom; accessible parking; accessible housing; accessible transportation  </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Handicapped bathrooms; handicapped parking; special needs housing; special housing; special transportation</w:t>
            </w:r>
          </w:p>
        </w:tc>
      </w:tr>
      <w:tr w:rsidR="00CB4C9C" w:rsidRPr="00CB4C9C" w:rsidTr="00CB4C9C">
        <w:trPr>
          <w:trHeight w:val="94"/>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Medical needs; acute medical needs; health care needs</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Special Medical Needs</w:t>
            </w:r>
          </w:p>
        </w:tc>
      </w:tr>
      <w:tr w:rsidR="00CB4C9C" w:rsidRPr="00CB4C9C" w:rsidTr="00CB4C9C">
        <w:trPr>
          <w:trHeight w:val="24"/>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She requires support or assistance</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She has a problem with…</w:t>
            </w:r>
          </w:p>
        </w:tc>
      </w:tr>
      <w:tr w:rsidR="00CB4C9C" w:rsidRPr="00CB4C9C" w:rsidTr="00CB4C9C">
        <w:trPr>
          <w:trHeight w:val="27"/>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Planning with people with disabilities; disability inclusive planning</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Planning for the disabled</w:t>
            </w:r>
          </w:p>
        </w:tc>
      </w:tr>
      <w:tr w:rsidR="00CB4C9C" w:rsidRPr="00CB4C9C" w:rsidTr="00CB4C9C">
        <w:trPr>
          <w:trHeight w:val="145"/>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Whole community planning; inclusive planning; integrated planning</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 xml:space="preserve">Special needs planning; special plans; special needs annex </w:t>
            </w:r>
          </w:p>
        </w:tc>
      </w:tr>
      <w:tr w:rsidR="00CB4C9C" w:rsidRPr="00CB4C9C" w:rsidTr="00CB4C9C">
        <w:trPr>
          <w:trHeight w:val="27"/>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Universal cot; accessible cot</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ADA cot; special needs cot; special medical cot</w:t>
            </w:r>
          </w:p>
        </w:tc>
      </w:tr>
      <w:tr w:rsidR="00CB4C9C" w:rsidRPr="00CB4C9C" w:rsidTr="00CB4C9C">
        <w:trPr>
          <w:trHeight w:val="298"/>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 xml:space="preserve">Personal assistance services; personal care assistance  for children, youth, and adults; caregiver (more appropriate with children) </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 xml:space="preserve">Patient care, caregiver (for an adult); </w:t>
            </w:r>
            <w:proofErr w:type="spellStart"/>
            <w:r w:rsidRPr="00CB4C9C">
              <w:rPr>
                <w:rFonts w:eastAsia="Times New Roman" w:cs="Times New Roman"/>
                <w:color w:val="000000"/>
                <w:sz w:val="20"/>
                <w:szCs w:val="20"/>
              </w:rPr>
              <w:t>carer</w:t>
            </w:r>
            <w:proofErr w:type="spellEnd"/>
            <w:r w:rsidRPr="00CB4C9C">
              <w:rPr>
                <w:rFonts w:eastAsia="Times New Roman" w:cs="Times New Roman"/>
                <w:color w:val="000000"/>
                <w:sz w:val="20"/>
                <w:szCs w:val="20"/>
              </w:rPr>
              <w:t>; takes care of</w:t>
            </w:r>
          </w:p>
        </w:tc>
      </w:tr>
      <w:tr w:rsidR="00CB4C9C" w:rsidRPr="00CB4C9C" w:rsidTr="00CB4C9C">
        <w:trPr>
          <w:trHeight w:val="27"/>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Functional needs support services in a general population shelter; accessible shelter; universal shelter</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Special needs shelter; special shelter; special functional needs shelter</w:t>
            </w:r>
          </w:p>
        </w:tc>
      </w:tr>
      <w:tr w:rsidR="00CB4C9C" w:rsidRPr="00CB4C9C" w:rsidTr="00CB4C9C">
        <w:trPr>
          <w:trHeight w:val="24"/>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Medical Shelter</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Special Medical Shelter</w:t>
            </w:r>
          </w:p>
        </w:tc>
      </w:tr>
      <w:tr w:rsidR="00CB4C9C" w:rsidRPr="00CB4C9C" w:rsidTr="00CB4C9C">
        <w:trPr>
          <w:trHeight w:val="172"/>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Person who receives or utilizes disability services</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Client; patient (unless referring to the acute care services of a nurse or doctor); consumer; burden; welfare case</w:t>
            </w:r>
          </w:p>
        </w:tc>
      </w:tr>
      <w:tr w:rsidR="00CB4C9C" w:rsidRPr="00CB4C9C" w:rsidTr="00CB4C9C">
        <w:trPr>
          <w:trHeight w:val="184"/>
        </w:trPr>
        <w:tc>
          <w:tcPr>
            <w:tcW w:w="4945"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Disaster survivor</w:t>
            </w:r>
          </w:p>
        </w:tc>
        <w:tc>
          <w:tcPr>
            <w:tcW w:w="4590" w:type="dxa"/>
            <w:shd w:val="clear" w:color="auto" w:fill="auto"/>
            <w:tcMar>
              <w:top w:w="43" w:type="dxa"/>
              <w:left w:w="115" w:type="dxa"/>
              <w:bottom w:w="43" w:type="dxa"/>
              <w:right w:w="115" w:type="dxa"/>
            </w:tcMar>
            <w:vAlign w:val="center"/>
            <w:hideMark/>
          </w:tcPr>
          <w:p w:rsidR="00CB4C9C" w:rsidRPr="00CB4C9C" w:rsidRDefault="00CB4C9C" w:rsidP="00CB4C9C">
            <w:pPr>
              <w:spacing w:after="0" w:line="240" w:lineRule="auto"/>
              <w:rPr>
                <w:rFonts w:eastAsia="Times New Roman" w:cs="Times New Roman"/>
                <w:color w:val="000000"/>
                <w:sz w:val="20"/>
                <w:szCs w:val="20"/>
              </w:rPr>
            </w:pPr>
            <w:r w:rsidRPr="00CB4C9C">
              <w:rPr>
                <w:rFonts w:eastAsia="Times New Roman" w:cs="Times New Roman"/>
                <w:color w:val="000000"/>
                <w:sz w:val="20"/>
                <w:szCs w:val="20"/>
              </w:rPr>
              <w:t>Disaster victim (when used to describe an individual who survived the disaster)</w:t>
            </w:r>
          </w:p>
        </w:tc>
      </w:tr>
    </w:tbl>
    <w:p w:rsidR="0057481F" w:rsidRDefault="0057481F" w:rsidP="001F3A3C">
      <w:pPr>
        <w:spacing w:before="240"/>
      </w:pPr>
    </w:p>
    <w:p w:rsidR="00237EA9" w:rsidRPr="00EA336D" w:rsidRDefault="0057481F" w:rsidP="00140470">
      <w:pPr>
        <w:rPr>
          <w:sz w:val="28"/>
        </w:rPr>
      </w:pPr>
      <w:r>
        <w:br w:type="page"/>
      </w:r>
      <w:r w:rsidRPr="00EA336D">
        <w:rPr>
          <w:sz w:val="28"/>
        </w:rPr>
        <w:lastRenderedPageBreak/>
        <w:t>Resources for Inclusive Language and Inclusive Emergency Management</w:t>
      </w:r>
    </w:p>
    <w:p w:rsidR="001D062E" w:rsidRDefault="001D062E" w:rsidP="001D062E">
      <w:pPr>
        <w:pStyle w:val="ListParagraph"/>
        <w:numPr>
          <w:ilvl w:val="0"/>
          <w:numId w:val="1"/>
        </w:numPr>
        <w:spacing w:before="240"/>
      </w:pPr>
      <w:r>
        <w:t xml:space="preserve">FEMA disability-related topic webpage: </w:t>
      </w:r>
      <w:hyperlink r:id="rId8" w:history="1">
        <w:r w:rsidRPr="00DC2326">
          <w:rPr>
            <w:rStyle w:val="Hyperlink"/>
          </w:rPr>
          <w:t>http://www.fema.gov/disability</w:t>
        </w:r>
      </w:hyperlink>
      <w:r>
        <w:t>.</w:t>
      </w:r>
    </w:p>
    <w:p w:rsidR="001D062E" w:rsidRDefault="001D062E" w:rsidP="001D062E">
      <w:pPr>
        <w:pStyle w:val="ListParagraph"/>
        <w:numPr>
          <w:ilvl w:val="0"/>
          <w:numId w:val="1"/>
        </w:numPr>
        <w:spacing w:before="240"/>
      </w:pPr>
      <w:r>
        <w:t xml:space="preserve">FEMA Office of Disability Integration and Coordination webpage: </w:t>
      </w:r>
      <w:hyperlink r:id="rId9" w:history="1">
        <w:r w:rsidRPr="00DC2326">
          <w:rPr>
            <w:rStyle w:val="Hyperlink"/>
          </w:rPr>
          <w:t>http://www.fema.gov/office-disability-integration-and-coordination</w:t>
        </w:r>
      </w:hyperlink>
      <w:r>
        <w:t>.</w:t>
      </w:r>
    </w:p>
    <w:p w:rsidR="001D062E" w:rsidRDefault="001D062E" w:rsidP="001D062E">
      <w:pPr>
        <w:pStyle w:val="ListParagraph"/>
        <w:numPr>
          <w:ilvl w:val="0"/>
          <w:numId w:val="1"/>
        </w:numPr>
        <w:spacing w:before="240"/>
      </w:pPr>
      <w:r>
        <w:t xml:space="preserve">“Language Is More than a Trivial Concern” by June Isaacson </w:t>
      </w:r>
      <w:proofErr w:type="spellStart"/>
      <w:r>
        <w:t>Kailes</w:t>
      </w:r>
      <w:proofErr w:type="spellEnd"/>
      <w:r>
        <w:t xml:space="preserve">: </w:t>
      </w:r>
      <w:hyperlink r:id="rId10" w:history="1">
        <w:r w:rsidRPr="00DC2326">
          <w:rPr>
            <w:rStyle w:val="Hyperlink"/>
          </w:rPr>
          <w:t>http://www.jik.com/language%20FINAL-L-12.27.10.pdf</w:t>
        </w:r>
      </w:hyperlink>
      <w:r>
        <w:t>.</w:t>
      </w:r>
    </w:p>
    <w:p w:rsidR="001D062E" w:rsidRDefault="001D062E" w:rsidP="001D062E">
      <w:pPr>
        <w:pStyle w:val="ListParagraph"/>
        <w:numPr>
          <w:ilvl w:val="0"/>
          <w:numId w:val="1"/>
        </w:numPr>
        <w:spacing w:before="240"/>
      </w:pPr>
      <w:r>
        <w:t xml:space="preserve">“Moving beyond ‘Special Needs’: A Function Based Framework for Emergency Management and Planning” by Alexandra Enders and June Isaacson </w:t>
      </w:r>
      <w:proofErr w:type="spellStart"/>
      <w:r>
        <w:t>Kailes</w:t>
      </w:r>
      <w:proofErr w:type="spellEnd"/>
      <w:r>
        <w:t xml:space="preserve">: </w:t>
      </w:r>
      <w:hyperlink r:id="rId11" w:history="1">
        <w:r w:rsidRPr="00DC2326">
          <w:rPr>
            <w:rStyle w:val="Hyperlink"/>
          </w:rPr>
          <w:t>http://www.jik.com/HHS%20Special%20Needs%20_2_.pdf</w:t>
        </w:r>
      </w:hyperlink>
      <w:r>
        <w:t>.</w:t>
      </w:r>
    </w:p>
    <w:p w:rsidR="001D062E" w:rsidRDefault="00EA336D" w:rsidP="00EA336D">
      <w:pPr>
        <w:pStyle w:val="ListParagraph"/>
        <w:numPr>
          <w:ilvl w:val="0"/>
          <w:numId w:val="1"/>
        </w:numPr>
        <w:spacing w:before="240"/>
      </w:pPr>
      <w:r>
        <w:t xml:space="preserve">U.S. Department of Justice Revisions to ADA Requirements – Effective Communication: </w:t>
      </w:r>
      <w:hyperlink r:id="rId12" w:history="1">
        <w:r w:rsidRPr="00DC2326">
          <w:rPr>
            <w:rStyle w:val="Hyperlink"/>
          </w:rPr>
          <w:t>http://www.ada.gov/effective-comm.htm</w:t>
        </w:r>
      </w:hyperlink>
      <w:r>
        <w:t>.</w:t>
      </w:r>
    </w:p>
    <w:p w:rsidR="00EA336D" w:rsidRDefault="00EA336D" w:rsidP="00EA336D">
      <w:pPr>
        <w:pStyle w:val="ListParagraph"/>
        <w:numPr>
          <w:ilvl w:val="0"/>
          <w:numId w:val="1"/>
        </w:numPr>
        <w:spacing w:before="240"/>
      </w:pPr>
      <w:r>
        <w:t xml:space="preserve">People First Language webpage by the Nebraska Statewide Independent Living Council (NESILC): </w:t>
      </w:r>
      <w:hyperlink r:id="rId13" w:history="1">
        <w:r w:rsidRPr="00DC2326">
          <w:rPr>
            <w:rStyle w:val="Hyperlink"/>
          </w:rPr>
          <w:t>http://www.nesilc.org/personfirst.html</w:t>
        </w:r>
      </w:hyperlink>
      <w:r>
        <w:t>.</w:t>
      </w:r>
    </w:p>
    <w:p w:rsidR="00EA336D" w:rsidRDefault="00EA336D" w:rsidP="00EA336D">
      <w:pPr>
        <w:pStyle w:val="ListParagraph"/>
        <w:numPr>
          <w:ilvl w:val="0"/>
          <w:numId w:val="1"/>
        </w:numPr>
        <w:spacing w:before="240"/>
      </w:pPr>
      <w:r>
        <w:t xml:space="preserve">Directive Number: 065-01: Nondiscrimination for Individuals with Disabilities in DHS-Conducted Programs and Activities (Non-Employment): </w:t>
      </w:r>
      <w:hyperlink r:id="rId14" w:history="1">
        <w:r w:rsidRPr="00DC2326">
          <w:rPr>
            <w:rStyle w:val="Hyperlink"/>
          </w:rPr>
          <w:t>http://www.dhs.gov/sites/default/files/publications/dhs-management-directive-disability-access_0.pdf</w:t>
        </w:r>
      </w:hyperlink>
      <w:r>
        <w:t>.</w:t>
      </w:r>
    </w:p>
    <w:p w:rsidR="00EA336D" w:rsidRDefault="00F63A94" w:rsidP="00F63A94">
      <w:pPr>
        <w:pStyle w:val="ListParagraph"/>
        <w:numPr>
          <w:ilvl w:val="0"/>
          <w:numId w:val="1"/>
        </w:numPr>
        <w:spacing w:before="240"/>
      </w:pPr>
      <w:r>
        <w:t>U.S. Department of Homeland Security (DHS) video commemorating the 40</w:t>
      </w:r>
      <w:r w:rsidRPr="00F63A94">
        <w:rPr>
          <w:vertAlign w:val="superscript"/>
        </w:rPr>
        <w:t>th</w:t>
      </w:r>
      <w:r>
        <w:t xml:space="preserve"> anniversary of section 504 of the </w:t>
      </w:r>
      <w:r w:rsidRPr="00F63A94">
        <w:rPr>
          <w:i/>
        </w:rPr>
        <w:t>Rehabilitation Act of 1973</w:t>
      </w:r>
      <w:r>
        <w:t xml:space="preserve">: </w:t>
      </w:r>
      <w:hyperlink r:id="rId15" w:history="1">
        <w:r w:rsidRPr="00DC2326">
          <w:rPr>
            <w:rStyle w:val="Hyperlink"/>
          </w:rPr>
          <w:t>http://www.dhs.gov/video/video-commemorating-40th-anniversary-section-504-rehabilitation-act-1973</w:t>
        </w:r>
      </w:hyperlink>
      <w:r>
        <w:t>.</w:t>
      </w:r>
    </w:p>
    <w:p w:rsidR="00F63A94" w:rsidRDefault="00F63A94" w:rsidP="00F63A94">
      <w:pPr>
        <w:pStyle w:val="ListParagraph"/>
        <w:numPr>
          <w:ilvl w:val="0"/>
          <w:numId w:val="1"/>
        </w:numPr>
        <w:spacing w:before="240"/>
      </w:pPr>
      <w:r>
        <w:t xml:space="preserve">“A Guide to Interacting with People who Have Disabilities: A Resource Guide for DHS Personnel, Contractors, and Grantees from the Office of Civil Rights and Civil Liberties” - </w:t>
      </w:r>
      <w:hyperlink r:id="rId16" w:history="1">
        <w:r w:rsidRPr="00DC2326">
          <w:rPr>
            <w:rStyle w:val="Hyperlink"/>
          </w:rPr>
          <w:t>http://www.dhs.gov/sites/default/files/publications/guide-interacting-with-people-who-have-disabilties_09-26-13.pdf</w:t>
        </w:r>
      </w:hyperlink>
      <w:r>
        <w:t>.</w:t>
      </w:r>
    </w:p>
    <w:p w:rsidR="00F63A94" w:rsidRDefault="00F63A94" w:rsidP="00F63A94">
      <w:pPr>
        <w:pStyle w:val="ListParagraph"/>
        <w:numPr>
          <w:ilvl w:val="0"/>
          <w:numId w:val="1"/>
        </w:numPr>
        <w:spacing w:before="240"/>
      </w:pPr>
      <w:r>
        <w:t xml:space="preserve">DHS “Tips for Effectively Communicating with Protected Populations during Preparedness, Response, and Recovery” webpage: </w:t>
      </w:r>
      <w:hyperlink r:id="rId17" w:history="1">
        <w:r w:rsidRPr="00DC2326">
          <w:rPr>
            <w:rStyle w:val="Hyperlink"/>
          </w:rPr>
          <w:t>http://www.dhs.gov/publication/tips-effectively-communicating-protected-populations-during-preparedness-response-and</w:t>
        </w:r>
      </w:hyperlink>
      <w:r>
        <w:t>.</w:t>
      </w:r>
    </w:p>
    <w:p w:rsidR="00F63A94" w:rsidRDefault="00F63A94" w:rsidP="00F63A94">
      <w:pPr>
        <w:pStyle w:val="ListParagraph"/>
        <w:numPr>
          <w:ilvl w:val="0"/>
          <w:numId w:val="1"/>
        </w:numPr>
        <w:spacing w:before="240"/>
      </w:pPr>
      <w:r>
        <w:t xml:space="preserve">People First Language webpage by the Hawaii Council on Developmental Disabilities: </w:t>
      </w:r>
      <w:hyperlink r:id="rId18" w:history="1">
        <w:r w:rsidRPr="00DC2326">
          <w:rPr>
            <w:rStyle w:val="Hyperlink"/>
          </w:rPr>
          <w:t>http://www.hiddc.org/language.htm</w:t>
        </w:r>
      </w:hyperlink>
      <w:r>
        <w:t>.</w:t>
      </w:r>
    </w:p>
    <w:p w:rsidR="00D7502A" w:rsidRPr="00734A1E" w:rsidRDefault="00F63A94" w:rsidP="001F3A3C">
      <w:pPr>
        <w:pStyle w:val="ListParagraph"/>
        <w:numPr>
          <w:ilvl w:val="0"/>
          <w:numId w:val="1"/>
        </w:numPr>
        <w:spacing w:before="240"/>
      </w:pPr>
      <w:r>
        <w:t xml:space="preserve">“Don’t Call Me Special” on Curbcut.net: </w:t>
      </w:r>
      <w:hyperlink r:id="rId19" w:history="1">
        <w:r w:rsidRPr="00DC2326">
          <w:rPr>
            <w:rStyle w:val="Hyperlink"/>
          </w:rPr>
          <w:t>http://curbcut.net/advocacy/dont-call-me-special/</w:t>
        </w:r>
      </w:hyperlink>
      <w:r w:rsidR="00CE44F8">
        <w:t>.</w:t>
      </w:r>
    </w:p>
    <w:sectPr w:rsidR="00D7502A" w:rsidRPr="00734A1E" w:rsidSect="008C3D93">
      <w:footerReference w:type="default" r:id="rId20"/>
      <w:headerReference w:type="first" r:id="rId21"/>
      <w:footerReference w:type="first" r:id="rId22"/>
      <w:pgSz w:w="12240" w:h="15840"/>
      <w:pgMar w:top="99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A1E" w:rsidRDefault="00734A1E" w:rsidP="00734A1E">
      <w:pPr>
        <w:spacing w:after="0" w:line="240" w:lineRule="auto"/>
      </w:pPr>
      <w:r>
        <w:separator/>
      </w:r>
    </w:p>
  </w:endnote>
  <w:endnote w:type="continuationSeparator" w:id="0">
    <w:p w:rsidR="00734A1E" w:rsidRDefault="00734A1E" w:rsidP="00734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D93" w:rsidRDefault="008C3D93">
    <w:pPr>
      <w:pStyle w:val="Footer"/>
      <w:jc w:val="right"/>
    </w:pPr>
    <w:r>
      <w:t xml:space="preserve">January 8, 2016 | </w:t>
    </w:r>
    <w:sdt>
      <w:sdtPr>
        <w:id w:val="19950696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E1D62">
          <w:rPr>
            <w:noProof/>
          </w:rPr>
          <w:t>4</w:t>
        </w:r>
        <w:r>
          <w:rPr>
            <w:noProof/>
          </w:rPr>
          <w:fldChar w:fldCharType="end"/>
        </w:r>
      </w:sdtContent>
    </w:sdt>
  </w:p>
  <w:p w:rsidR="008C3D93" w:rsidRDefault="008C3D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D93" w:rsidRDefault="008C3D93">
    <w:pPr>
      <w:pStyle w:val="Footer"/>
      <w:jc w:val="right"/>
    </w:pPr>
    <w:r>
      <w:t xml:space="preserve">January 8, 2016 | </w:t>
    </w:r>
    <w:sdt>
      <w:sdtPr>
        <w:id w:val="2113781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E1D62">
          <w:rPr>
            <w:noProof/>
          </w:rPr>
          <w:t>1</w:t>
        </w:r>
        <w:r>
          <w:rPr>
            <w:noProof/>
          </w:rPr>
          <w:fldChar w:fldCharType="end"/>
        </w:r>
      </w:sdtContent>
    </w:sdt>
  </w:p>
  <w:p w:rsidR="008C3D93" w:rsidRDefault="008C3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A1E" w:rsidRDefault="00734A1E" w:rsidP="00734A1E">
      <w:pPr>
        <w:spacing w:after="0" w:line="240" w:lineRule="auto"/>
      </w:pPr>
      <w:r>
        <w:separator/>
      </w:r>
    </w:p>
  </w:footnote>
  <w:footnote w:type="continuationSeparator" w:id="0">
    <w:p w:rsidR="00734A1E" w:rsidRDefault="00734A1E" w:rsidP="00734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D93" w:rsidRDefault="008C3D93" w:rsidP="008C3D93">
    <w:pPr>
      <w:pStyle w:val="Header"/>
      <w:jc w:val="right"/>
    </w:pPr>
    <w:r w:rsidRPr="00734A1E">
      <w:rPr>
        <w:rFonts w:ascii="Calibri" w:eastAsia="Calibri" w:hAnsi="Calibri" w:cs="Calibri"/>
        <w:b/>
        <w:bCs/>
        <w:noProof/>
      </w:rPr>
      <w:drawing>
        <wp:inline distT="0" distB="0" distL="0" distR="0" wp14:anchorId="5DDB5CCF" wp14:editId="43844F3C">
          <wp:extent cx="1923402" cy="742950"/>
          <wp:effectExtent l="0" t="0" r="1270" b="0"/>
          <wp:docPr id="14" name="Picture 14" descr="FEMA LOGO" title="F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746389"/>
                  </a:xfrm>
                  <a:prstGeom prst="rect">
                    <a:avLst/>
                  </a:prstGeom>
                  <a:noFill/>
                </pic:spPr>
              </pic:pic>
            </a:graphicData>
          </a:graphic>
        </wp:inline>
      </w:drawing>
    </w:r>
  </w:p>
  <w:p w:rsidR="008C3D93" w:rsidRPr="00734A1E" w:rsidRDefault="008C3D93" w:rsidP="008C3D93">
    <w:pPr>
      <w:pStyle w:val="Header"/>
      <w:jc w:val="right"/>
      <w:rPr>
        <w:b/>
        <w:sz w:val="18"/>
      </w:rPr>
    </w:pPr>
    <w:r w:rsidRPr="00734A1E">
      <w:rPr>
        <w:b/>
        <w:sz w:val="18"/>
      </w:rPr>
      <w:t>Office of Disability Integration and Coordination</w:t>
    </w:r>
  </w:p>
  <w:p w:rsidR="008C3D93" w:rsidRPr="00734A1E" w:rsidRDefault="008C3D93" w:rsidP="008C3D93">
    <w:pPr>
      <w:pStyle w:val="Header"/>
      <w:jc w:val="right"/>
      <w:rPr>
        <w:sz w:val="18"/>
      </w:rPr>
    </w:pPr>
    <w:r w:rsidRPr="00734A1E">
      <w:rPr>
        <w:sz w:val="18"/>
      </w:rPr>
      <w:t>Federal Emergency Management Agency</w:t>
    </w:r>
  </w:p>
  <w:p w:rsidR="008C3D93" w:rsidRPr="00734A1E" w:rsidRDefault="008C3D93" w:rsidP="008C3D93">
    <w:pPr>
      <w:pStyle w:val="Header"/>
      <w:jc w:val="right"/>
      <w:rPr>
        <w:sz w:val="18"/>
      </w:rPr>
    </w:pPr>
    <w:r w:rsidRPr="00734A1E">
      <w:rPr>
        <w:sz w:val="18"/>
      </w:rPr>
      <w:t>U.S. Department of Homeland Security</w:t>
    </w:r>
  </w:p>
  <w:p w:rsidR="008C3D93" w:rsidRPr="008C3D93" w:rsidRDefault="008C3D93" w:rsidP="008C3D93">
    <w:pPr>
      <w:pStyle w:val="Header"/>
      <w:jc w:val="right"/>
      <w:rPr>
        <w:sz w:val="18"/>
      </w:rPr>
    </w:pPr>
    <w:r w:rsidRPr="00734A1E">
      <w:rPr>
        <w:sz w:val="18"/>
      </w:rPr>
      <w:t>Washington, DC 20472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17804"/>
    <w:multiLevelType w:val="hybridMultilevel"/>
    <w:tmpl w:val="9836EA90"/>
    <w:lvl w:ilvl="0" w:tplc="7FCAEBDA">
      <w:start w:val="2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1E"/>
    <w:rsid w:val="00140470"/>
    <w:rsid w:val="001D062E"/>
    <w:rsid w:val="001F3A3C"/>
    <w:rsid w:val="00237EA9"/>
    <w:rsid w:val="00480446"/>
    <w:rsid w:val="00553D32"/>
    <w:rsid w:val="0057481F"/>
    <w:rsid w:val="00734A1E"/>
    <w:rsid w:val="008C3D93"/>
    <w:rsid w:val="008E1D62"/>
    <w:rsid w:val="00AE4E04"/>
    <w:rsid w:val="00CB4C9C"/>
    <w:rsid w:val="00CE44F8"/>
    <w:rsid w:val="00D7502A"/>
    <w:rsid w:val="00E66921"/>
    <w:rsid w:val="00EA336D"/>
    <w:rsid w:val="00F63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6505BF4-6BDF-40E3-99F6-1771A4FB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A1E"/>
  </w:style>
  <w:style w:type="paragraph" w:styleId="Footer">
    <w:name w:val="footer"/>
    <w:basedOn w:val="Normal"/>
    <w:link w:val="FooterChar"/>
    <w:uiPriority w:val="99"/>
    <w:unhideWhenUsed/>
    <w:rsid w:val="00734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A1E"/>
  </w:style>
  <w:style w:type="paragraph" w:styleId="ListParagraph">
    <w:name w:val="List Paragraph"/>
    <w:basedOn w:val="Normal"/>
    <w:uiPriority w:val="34"/>
    <w:qFormat/>
    <w:rsid w:val="00734A1E"/>
    <w:pPr>
      <w:ind w:left="720"/>
      <w:contextualSpacing/>
    </w:pPr>
  </w:style>
  <w:style w:type="table" w:styleId="TableGrid">
    <w:name w:val="Table Grid"/>
    <w:basedOn w:val="TableNormal"/>
    <w:uiPriority w:val="39"/>
    <w:rsid w:val="00D750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D06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70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ma.gov/disability" TargetMode="External"/><Relationship Id="rId13" Type="http://schemas.openxmlformats.org/officeDocument/2006/relationships/hyperlink" Target="http://www.nesilc.org/personfirst.html" TargetMode="External"/><Relationship Id="rId18" Type="http://schemas.openxmlformats.org/officeDocument/2006/relationships/hyperlink" Target="http://www.hiddc.org/language.htm"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da.gov/effective-comm.htm" TargetMode="External"/><Relationship Id="rId17" Type="http://schemas.openxmlformats.org/officeDocument/2006/relationships/hyperlink" Target="http://www.dhs.gov/publication/tips-effectively-communicating-protected-populations-during-preparedness-response-and"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dhs.gov/sites/default/files/publications/guide-interacting-with-people-who-have-disabilties_09-26-13.pdf" TargetMode="External"/><Relationship Id="rId20" Type="http://schemas.openxmlformats.org/officeDocument/2006/relationships/footer" Target="footer1.xm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ik.com/HHS%20Special%20Needs%20_2_.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hs.gov/video/video-commemorating-40th-anniversary-section-504-rehabilitation-act-1973" TargetMode="External"/><Relationship Id="rId23" Type="http://schemas.openxmlformats.org/officeDocument/2006/relationships/fontTable" Target="fontTable.xml"/><Relationship Id="rId10" Type="http://schemas.openxmlformats.org/officeDocument/2006/relationships/hyperlink" Target="http://www.jik.com/language%20FINAL-L-12.27.10.pdf" TargetMode="External"/><Relationship Id="rId19" Type="http://schemas.openxmlformats.org/officeDocument/2006/relationships/hyperlink" Target="http://curbcut.net/advocacy/dont-call-me-special/" TargetMode="External"/><Relationship Id="rId4" Type="http://schemas.openxmlformats.org/officeDocument/2006/relationships/settings" Target="settings.xml"/><Relationship Id="rId9" Type="http://schemas.openxmlformats.org/officeDocument/2006/relationships/hyperlink" Target="http://www.fema.gov/office-disability-integration-and-coordination" TargetMode="External"/><Relationship Id="rId14" Type="http://schemas.openxmlformats.org/officeDocument/2006/relationships/hyperlink" Target="http://www.dhs.gov/sites/default/files/publications/dhs-management-directive-disability-access_0.pdf" TargetMode="External"/><Relationship Id="rId22" Type="http://schemas.openxmlformats.org/officeDocument/2006/relationships/footer" Target="footer2.xml"/><Relationship Id="rId30" Type="http://schemas.openxmlformats.org/officeDocument/2006/relationships/customXml" Target="../customXml/item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39b159fc-fdb2-443e-9140-e9098550cc3b" xsi:nil="true"/>
    <_dlc_DocIdPersistId xmlns="125f5432-6db8-4c92-bf1a-11bc4127a82a" xsi:nil="true"/>
    <PublishingExpirationDate xmlns="http://schemas.microsoft.com/sharepoint/v3" xsi:nil="true"/>
    <PublishingStartDate xmlns="http://schemas.microsoft.com/sharepoint/v3" xsi:nil="true"/>
    <_dlc_DocId xmlns="125f5432-6db8-4c92-bf1a-11bc4127a82a">C4KEUJAWW2TT-938790001-46</_dlc_DocId>
    <_dlc_DocIdUrl xmlns="125f5432-6db8-4c92-bf1a-11bc4127a82a">
      <Url>http://starr-team.eastus.cloudapp.azure.com:82/starr/RegionalWorkspaces/RegionX/mitigationplanning/_layouts/15/DocIdRedir.aspx?ID=C4KEUJAWW2TT-938790001-46</Url>
      <Description>C4KEUJAWW2TT-938790001-46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303242A105FD30478AA84C6AB24ECAE3" ma:contentTypeVersion="8" ma:contentTypeDescription="Create a new document." ma:contentTypeScope="" ma:versionID="284a43c324e313c3bc7bae08f7e2cf23">
  <xsd:schema xmlns:xsd="http://www.w3.org/2001/XMLSchema" xmlns:xs="http://www.w3.org/2001/XMLSchema" xmlns:p="http://schemas.microsoft.com/office/2006/metadata/properties" xmlns:ns1="http://schemas.microsoft.com/sharepoint/v3" xmlns:ns2="39b159fc-fdb2-443e-9140-e9098550cc3b" xmlns:ns3="125f5432-6db8-4c92-bf1a-11bc4127a82a" targetNamespace="http://schemas.microsoft.com/office/2006/metadata/properties" ma:root="true" ma:fieldsID="09e6e05806b8b1d8d4751e2c3afc56b9" ns1:_="" ns2:_="" ns3:_="">
    <xsd:import namespace="http://schemas.microsoft.com/sharepoint/v3"/>
    <xsd:import namespace="39b159fc-fdb2-443e-9140-e9098550cc3b"/>
    <xsd:import namespace="125f5432-6db8-4c92-bf1a-11bc4127a82a"/>
    <xsd:element name="properties">
      <xsd:complexType>
        <xsd:sequence>
          <xsd:element name="documentManagement">
            <xsd:complexType>
              <xsd:all>
                <xsd:element ref="ns2:Document_x0020_Type" minOccurs="0"/>
                <xsd:element ref="ns1:PublishingStartDate" minOccurs="0"/>
                <xsd:element ref="ns1:PublishingExpiration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b159fc-fdb2-443e-9140-e9098550cc3b"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ma:readOnly="false">
      <xsd:simpleType>
        <xsd:restriction base="dms:Choice">
          <xsd:enumeration value="Presentation"/>
          <xsd:enumeration value="Reference"/>
        </xsd:restriction>
      </xsd:simpleType>
    </xsd:element>
  </xsd:schema>
  <xsd:schema xmlns:xsd="http://www.w3.org/2001/XMLSchema" xmlns:xs="http://www.w3.org/2001/XMLSchema" xmlns:dms="http://schemas.microsoft.com/office/2006/documentManagement/types" xmlns:pc="http://schemas.microsoft.com/office/infopath/2007/PartnerControls" targetNamespace="125f5432-6db8-4c92-bf1a-11bc4127a8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AA66A-32EE-40AE-BA1F-34FA4D060948}"/>
</file>

<file path=customXml/itemProps2.xml><?xml version="1.0" encoding="utf-8"?>
<ds:datastoreItem xmlns:ds="http://schemas.openxmlformats.org/officeDocument/2006/customXml" ds:itemID="{7385EC17-8D33-4A88-9040-91C6BDBCBA05}"/>
</file>

<file path=customXml/itemProps3.xml><?xml version="1.0" encoding="utf-8"?>
<ds:datastoreItem xmlns:ds="http://schemas.openxmlformats.org/officeDocument/2006/customXml" ds:itemID="{81AE6198-03DF-4E00-98AE-2E9E5D950EF9}"/>
</file>

<file path=customXml/itemProps4.xml><?xml version="1.0" encoding="utf-8"?>
<ds:datastoreItem xmlns:ds="http://schemas.openxmlformats.org/officeDocument/2006/customXml" ds:itemID="{7222E468-1E41-4B80-9E87-4B96D5D640AC}"/>
</file>

<file path=customXml/itemProps5.xml><?xml version="1.0" encoding="utf-8"?>
<ds:datastoreItem xmlns:ds="http://schemas.openxmlformats.org/officeDocument/2006/customXml" ds:itemID="{E78A4A84-F0A4-4C17-8459-25B89E104FBC}"/>
</file>

<file path=customXml/itemProps6.xml><?xml version="1.0" encoding="utf-8"?>
<ds:datastoreItem xmlns:ds="http://schemas.openxmlformats.org/officeDocument/2006/customXml" ds:itemID="{7222E468-1E41-4B80-9E87-4B96D5D640AC}"/>
</file>

<file path=customXml/itemProps7.xml><?xml version="1.0" encoding="utf-8"?>
<ds:datastoreItem xmlns:ds="http://schemas.openxmlformats.org/officeDocument/2006/customXml" ds:itemID="{96E2D0DF-90D8-4228-98A6-EF85019F3737}"/>
</file>

<file path=docProps/app.xml><?xml version="1.0" encoding="utf-8"?>
<Properties xmlns="http://schemas.openxmlformats.org/officeDocument/2006/extended-properties" xmlns:vt="http://schemas.openxmlformats.org/officeDocument/2006/docPropsVTypes">
  <Template>Normal.dotm</Template>
  <TotalTime>148</TotalTime>
  <Pages>4</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10520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Rodriguez-Noble, Jacob</dc:creator>
  <cp:keywords/>
  <dc:description/>
  <cp:lastModifiedBy>Rodriguez-Noble, Jacob</cp:lastModifiedBy>
  <cp:revision>11</cp:revision>
  <dcterms:created xsi:type="dcterms:W3CDTF">2016-01-08T19:02:00Z</dcterms:created>
  <dcterms:modified xsi:type="dcterms:W3CDTF">2016-01-13T20:58:00Z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12246ed6-945d-42c6-bb8f-2ed21e211027</vt:lpwstr>
  </property>
  <property fmtid="{D5CDD505-2E9C-101B-9397-08002B2CF9AE}" pid="3" name="ContentTypeId">
    <vt:lpwstr>0x010100303242A105FD30478AA84C6AB24ECAE3</vt:lpwstr>
  </property>
  <property fmtid="{D5CDD505-2E9C-101B-9397-08002B2CF9AE}" pid="4" name="TaxKeyword">
    <vt:lpwstr/>
  </property>
  <property fmtid="{D5CDD505-2E9C-101B-9397-08002B2CF9AE}" pid="5" name="Hazards">
    <vt:lpwstr/>
  </property>
  <property fmtid="{D5CDD505-2E9C-101B-9397-08002B2CF9AE}" pid="6" name="URL">
    <vt:lpwstr/>
  </property>
  <property fmtid="{D5CDD505-2E9C-101B-9397-08002B2CF9AE}" pid="7" name="DocumentSetDescription">
    <vt:lpwstr/>
  </property>
</Properties>
</file>